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Итоговое сочинение является допуском к государственной итоговой аттестации (оценка школы – «зачет-незачет») и формой индивидуальных достижений абитуриента (оценка вуза – до 10 баллов к ЕГЭ, если вуз такое решение принял). Учет результата сочинения в вузе осуществляется по желанию абитуриента и решению вуза.</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Итоговое сочинение, в случае представления его при приеме на </w:t>
      </w:r>
      <w:proofErr w:type="gramStart"/>
      <w:r w:rsidRPr="00737157">
        <w:rPr>
          <w:rFonts w:ascii="Rubik-Regular" w:eastAsia="Times New Roman" w:hAnsi="Rubik-Regular" w:cs="Times New Roman"/>
          <w:color w:val="000000"/>
          <w:sz w:val="21"/>
          <w:szCs w:val="21"/>
          <w:lang w:eastAsia="ru-RU"/>
        </w:rPr>
        <w:t>обучение по программам</w:t>
      </w:r>
      <w:proofErr w:type="gramEnd"/>
      <w:r w:rsidRPr="00737157">
        <w:rPr>
          <w:rFonts w:ascii="Rubik-Regular" w:eastAsia="Times New Roman" w:hAnsi="Rubik-Regular" w:cs="Times New Roman"/>
          <w:color w:val="000000"/>
          <w:sz w:val="21"/>
          <w:szCs w:val="21"/>
          <w:lang w:eastAsia="ru-RU"/>
        </w:rPr>
        <w:t xml:space="preserve">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и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действительно в течение четырех лет, следующих за годом написания такого сочинения. Итоговое сочинение (изложение) как допуск к ГИА – бессрочно.</w:t>
      </w:r>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При подготовке к итоговому сочинению (изложению) могут быть полезны следующие ресурсы, ссылки на которые Вы можете найти в специализированном разделе «Итоговое сочинение (изложение)» сайта ФГБНУ «ФИПИ» или по ссылке </w:t>
      </w:r>
      <w:hyperlink r:id="rId5" w:history="1">
        <w:r w:rsidRPr="00737157">
          <w:rPr>
            <w:rFonts w:ascii="Rubik-Regular" w:eastAsia="Times New Roman" w:hAnsi="Rubik-Regular" w:cs="Times New Roman"/>
            <w:color w:val="3A75C4"/>
            <w:sz w:val="21"/>
            <w:szCs w:val="21"/>
            <w:u w:val="single"/>
            <w:bdr w:val="none" w:sz="0" w:space="0" w:color="auto" w:frame="1"/>
            <w:lang w:eastAsia="ru-RU"/>
          </w:rPr>
          <w:t>https://fipi.ru/itogovoe-sochinenie</w:t>
        </w:r>
      </w:hyperlink>
      <w:r w:rsidRPr="00737157">
        <w:rPr>
          <w:rFonts w:ascii="Rubik-Regular" w:eastAsia="Times New Roman" w:hAnsi="Rubik-Regular" w:cs="Times New Roman"/>
          <w:color w:val="000000"/>
          <w:sz w:val="21"/>
          <w:szCs w:val="21"/>
          <w:lang w:eastAsia="ru-RU"/>
        </w:rPr>
        <w:t> (анализ результатов итогового сочинения (изложения), типичные ошибки и методика подготовки к итоговому сочинению (изложению).</w:t>
      </w:r>
      <w:proofErr w:type="gramEnd"/>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737157">
        <w:rPr>
          <w:rFonts w:ascii="inherit" w:eastAsia="Times New Roman" w:hAnsi="inherit" w:cs="Times New Roman"/>
          <w:color w:val="000000"/>
          <w:sz w:val="21"/>
          <w:szCs w:val="21"/>
          <w:bdr w:val="none" w:sz="0" w:space="0" w:color="auto" w:frame="1"/>
          <w:lang w:eastAsia="ru-RU"/>
        </w:rPr>
        <w:t xml:space="preserve">Напоминаем, что оперативную информацию о подготовке и проведении итогового сочинения (изложения), ЕГЭ / ОГЭ/ ГВЭ можно получать на официальном сайте </w:t>
      </w:r>
      <w:proofErr w:type="spellStart"/>
      <w:r w:rsidRPr="00737157">
        <w:rPr>
          <w:rFonts w:ascii="inherit" w:eastAsia="Times New Roman" w:hAnsi="inherit" w:cs="Times New Roman"/>
          <w:color w:val="000000"/>
          <w:sz w:val="21"/>
          <w:szCs w:val="21"/>
          <w:bdr w:val="none" w:sz="0" w:space="0" w:color="auto" w:frame="1"/>
          <w:lang w:eastAsia="ru-RU"/>
        </w:rPr>
        <w:t>минобразования</w:t>
      </w:r>
      <w:proofErr w:type="spellEnd"/>
      <w:r w:rsidRPr="00737157">
        <w:rPr>
          <w:rFonts w:ascii="inherit" w:eastAsia="Times New Roman" w:hAnsi="inherit" w:cs="Times New Roman"/>
          <w:color w:val="000000"/>
          <w:sz w:val="21"/>
          <w:szCs w:val="21"/>
          <w:bdr w:val="none" w:sz="0" w:space="0" w:color="auto" w:frame="1"/>
          <w:lang w:eastAsia="ru-RU"/>
        </w:rPr>
        <w:t xml:space="preserve"> Ростовской области.</w:t>
      </w:r>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6" w:tooltip="Об утверждении порядка проведения и проверки ИС.docx" w:history="1">
        <w:r w:rsidRPr="00737157">
          <w:rPr>
            <w:rFonts w:ascii="Rubik-Regular" w:eastAsia="Times New Roman" w:hAnsi="Rubik-Regular" w:cs="Times New Roman"/>
            <w:color w:val="3A75C4"/>
            <w:sz w:val="21"/>
            <w:szCs w:val="21"/>
            <w:u w:val="single"/>
            <w:bdr w:val="none" w:sz="0" w:space="0" w:color="auto" w:frame="1"/>
            <w:lang w:eastAsia="ru-RU"/>
          </w:rPr>
          <w:t>Приказ Министерства общего и профессионального образования Ростовской области от 29.08.2023 №814 "Об утверждении порядка проведения и проверки итогового сочинения (изложения) в образовательных организациях на территории Ростовской области"</w:t>
        </w:r>
      </w:hyperlink>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7" w:tooltip="О внесении изменений в приказ от 29.08.2023 № 814.pdf" w:history="1">
        <w:r w:rsidRPr="00737157">
          <w:rPr>
            <w:rFonts w:ascii="Rubik-Regular" w:eastAsia="Times New Roman" w:hAnsi="Rubik-Regular" w:cs="Times New Roman"/>
            <w:color w:val="3A75C4"/>
            <w:sz w:val="21"/>
            <w:szCs w:val="21"/>
            <w:u w:val="single"/>
            <w:bdr w:val="none" w:sz="0" w:space="0" w:color="auto" w:frame="1"/>
            <w:lang w:eastAsia="ru-RU"/>
          </w:rPr>
          <w:t>Приказ Министерства общего и профессионального образования от 20.10.2023 № 1013</w:t>
        </w:r>
        <w:proofErr w:type="gramStart"/>
        <w:r w:rsidRPr="00737157">
          <w:rPr>
            <w:rFonts w:ascii="Rubik-Regular" w:eastAsia="Times New Roman" w:hAnsi="Rubik-Regular" w:cs="Times New Roman"/>
            <w:color w:val="3A75C4"/>
            <w:sz w:val="21"/>
            <w:szCs w:val="21"/>
            <w:u w:val="single"/>
            <w:bdr w:val="none" w:sz="0" w:space="0" w:color="auto" w:frame="1"/>
            <w:lang w:eastAsia="ru-RU"/>
          </w:rPr>
          <w:t xml:space="preserve"> О</w:t>
        </w:r>
        <w:proofErr w:type="gramEnd"/>
        <w:r w:rsidRPr="00737157">
          <w:rPr>
            <w:rFonts w:ascii="Rubik-Regular" w:eastAsia="Times New Roman" w:hAnsi="Rubik-Regular" w:cs="Times New Roman"/>
            <w:color w:val="3A75C4"/>
            <w:sz w:val="21"/>
            <w:szCs w:val="21"/>
            <w:u w:val="single"/>
            <w:bdr w:val="none" w:sz="0" w:space="0" w:color="auto" w:frame="1"/>
            <w:lang w:eastAsia="ru-RU"/>
          </w:rPr>
          <w:t>" внесении изменений в приказ от 29.08.2023 № 814"</w:t>
        </w:r>
      </w:hyperlink>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8" w:tooltip="Приказ_1014 от 20.10.2023 об организации и проведении ИС 06.12.2023.pdf" w:history="1">
        <w:r w:rsidRPr="00737157">
          <w:rPr>
            <w:rFonts w:ascii="Rubik-Regular" w:eastAsia="Times New Roman" w:hAnsi="Rubik-Regular" w:cs="Times New Roman"/>
            <w:color w:val="3A75C4"/>
            <w:sz w:val="21"/>
            <w:szCs w:val="21"/>
            <w:u w:val="single"/>
            <w:bdr w:val="none" w:sz="0" w:space="0" w:color="auto" w:frame="1"/>
            <w:lang w:eastAsia="ru-RU"/>
          </w:rPr>
          <w:t>Приказ Министерства общего и профессионального образования № 1014 от 20.10.2023 "Об организации и проведении ИС 06.12.2023"</w:t>
        </w:r>
      </w:hyperlink>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9" w:tooltip="Методрекомендации по организации и проведению ИС.pdf" w:history="1">
        <w:r w:rsidRPr="00737157">
          <w:rPr>
            <w:rFonts w:ascii="Rubik-Regular" w:eastAsia="Times New Roman" w:hAnsi="Rubik-Regular" w:cs="Times New Roman"/>
            <w:color w:val="3A75C4"/>
            <w:sz w:val="21"/>
            <w:szCs w:val="21"/>
            <w:u w:val="single"/>
            <w:bdr w:val="none" w:sz="0" w:space="0" w:color="auto" w:frame="1"/>
            <w:lang w:eastAsia="ru-RU"/>
          </w:rPr>
          <w:t>Методические рекомендации по организации и проведению итогового сочинения (изложения) </w:t>
        </w:r>
      </w:hyperlink>
      <w:hyperlink r:id="rId10" w:tooltip="Методрекомендации по организации и проведению ИС.pdf" w:history="1">
        <w:r w:rsidRPr="00737157">
          <w:rPr>
            <w:rFonts w:ascii="Rubik-Regular" w:eastAsia="Times New Roman" w:hAnsi="Rubik-Regular" w:cs="Times New Roman"/>
            <w:color w:val="3A75C4"/>
            <w:sz w:val="21"/>
            <w:szCs w:val="21"/>
            <w:u w:val="single"/>
            <w:bdr w:val="none" w:sz="0" w:space="0" w:color="auto" w:frame="1"/>
            <w:lang w:eastAsia="ru-RU"/>
          </w:rPr>
          <w:t>в 2023/24 учебном году</w:t>
        </w:r>
      </w:hyperlink>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11" w:tooltip="Правила заполнения бланков ИС.pdf" w:history="1">
        <w:r w:rsidRPr="00737157">
          <w:rPr>
            <w:rFonts w:ascii="Rubik-Regular" w:eastAsia="Times New Roman" w:hAnsi="Rubik-Regular" w:cs="Times New Roman"/>
            <w:color w:val="3A75C4"/>
            <w:sz w:val="21"/>
            <w:szCs w:val="21"/>
            <w:u w:val="single"/>
            <w:bdr w:val="none" w:sz="0" w:space="0" w:color="auto" w:frame="1"/>
            <w:lang w:eastAsia="ru-RU"/>
          </w:rPr>
          <w:t>Правила заполнения бланков итогового сочинения (изложения) в 2023/24 учебном году</w:t>
        </w:r>
      </w:hyperlink>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Вправе участвовать в дополнительные сроки: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получившие «незачет»;</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lastRenderedPageBreak/>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Bold" w:eastAsia="Times New Roman" w:hAnsi="Rubik-Bold" w:cs="Times New Roman"/>
          <w:b/>
          <w:bCs/>
          <w:color w:val="000000"/>
          <w:sz w:val="21"/>
          <w:szCs w:val="21"/>
          <w:lang w:eastAsia="ru-RU"/>
        </w:rPr>
        <w:t>УЧАСТНИКИ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ИТОГОВОЕ СОЧИНЕНИЕ (ИЗЛОЖЕНИЕ) КАК УСЛОВИЕ ДОПУСКА К ГИА проводится для обучающихся XI (XII) классов, в том числе </w:t>
      </w:r>
      <w:proofErr w:type="gramStart"/>
      <w:r w:rsidRPr="00737157">
        <w:rPr>
          <w:rFonts w:ascii="Rubik-Regular" w:eastAsia="Times New Roman" w:hAnsi="Rubik-Regular" w:cs="Times New Roman"/>
          <w:color w:val="000000"/>
          <w:sz w:val="21"/>
          <w:szCs w:val="21"/>
          <w:lang w:eastAsia="ru-RU"/>
        </w:rPr>
        <w:t>для</w:t>
      </w:r>
      <w:proofErr w:type="gramEnd"/>
      <w:r w:rsidRPr="00737157">
        <w:rPr>
          <w:rFonts w:ascii="Rubik-Regular" w:eastAsia="Times New Roman" w:hAnsi="Rubik-Regular" w:cs="Times New Roman"/>
          <w:color w:val="000000"/>
          <w:sz w:val="21"/>
          <w:szCs w:val="21"/>
          <w:lang w:eastAsia="ru-RU"/>
        </w:rPr>
        <w:t>:</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737157">
        <w:rPr>
          <w:rFonts w:ascii="Rubik-Regular" w:eastAsia="Times New Roman" w:hAnsi="Rubik-Regular" w:cs="Times New Roman"/>
          <w:color w:val="000000"/>
          <w:sz w:val="21"/>
          <w:szCs w:val="21"/>
          <w:lang w:eastAsia="ru-RU"/>
        </w:rPr>
        <w:t xml:space="preserve"> программе среднего общего образования с последующим получением аттестата о среднем общем образовании);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737157">
        <w:rPr>
          <w:rFonts w:ascii="Rubik-Regular" w:eastAsia="Times New Roman" w:hAnsi="Rubik-Regular" w:cs="Times New Roman"/>
          <w:color w:val="000000"/>
          <w:sz w:val="21"/>
          <w:szCs w:val="21"/>
          <w:lang w:eastAsia="ru-RU"/>
        </w:rPr>
        <w:t>ДЛЯ</w:t>
      </w:r>
      <w:proofErr w:type="gramEnd"/>
      <w:r w:rsidRPr="00737157">
        <w:rPr>
          <w:rFonts w:ascii="Rubik-Regular" w:eastAsia="Times New Roman" w:hAnsi="Rubik-Regular" w:cs="Times New Roman"/>
          <w:color w:val="000000"/>
          <w:sz w:val="21"/>
          <w:szCs w:val="21"/>
          <w:lang w:eastAsia="ru-RU"/>
        </w:rPr>
        <w:t>:</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·лиц, обучающихся по образовательным программам среднего профессионального образования;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lastRenderedPageBreak/>
        <w:t>·лиц, получающих среднее общее образование в иностранных образовательных организациях;</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ИЗЛОЖЕНИЕ ВПРАВЕ ПИСАТЬ СЛЕДУЮЩИЕ КАТЕГОРИИ ЛИЦ:</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с ограниченными возможностями здоровья, дети-инвалиды и инвалиды;</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37157" w:rsidRPr="00737157" w:rsidRDefault="00737157" w:rsidP="00737157">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737157">
        <w:rPr>
          <w:rFonts w:ascii="inherit" w:eastAsia="Times New Roman" w:hAnsi="inherit" w:cs="Times New Roman"/>
          <w:color w:val="3A75C4"/>
          <w:sz w:val="21"/>
          <w:szCs w:val="21"/>
          <w:bdr w:val="none" w:sz="0" w:space="0" w:color="auto" w:frame="1"/>
          <w:lang w:eastAsia="ru-RU"/>
        </w:rPr>
        <w:t>ПОРЯДОК ПОДАЧИ ЗАЯВЛЕНИЯ НА УЧАСТИЕ В ИТОГОВОМ СОЧИНЕНИИ (ИЗЛОЖЕНИИ)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Для участия в итоговом сочинении (изложении) участники подают заявление  не </w:t>
      </w:r>
      <w:proofErr w:type="gramStart"/>
      <w:r w:rsidRPr="00737157">
        <w:rPr>
          <w:rFonts w:ascii="Rubik-Regular" w:eastAsia="Times New Roman" w:hAnsi="Rubik-Regular" w:cs="Times New Roman"/>
          <w:color w:val="000000"/>
          <w:sz w:val="21"/>
          <w:szCs w:val="21"/>
          <w:lang w:eastAsia="ru-RU"/>
        </w:rPr>
        <w:t>позднее</w:t>
      </w:r>
      <w:proofErr w:type="gramEnd"/>
      <w:r w:rsidRPr="00737157">
        <w:rPr>
          <w:rFonts w:ascii="Rubik-Regular" w:eastAsia="Times New Roman" w:hAnsi="Rubik-Regular" w:cs="Times New Roman"/>
          <w:color w:val="000000"/>
          <w:sz w:val="21"/>
          <w:szCs w:val="21"/>
          <w:lang w:eastAsia="ru-RU"/>
        </w:rPr>
        <w:t xml:space="preserve"> чем за две недели до начала проведения итогового сочинения (изложения).</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737157">
        <w:rPr>
          <w:rFonts w:ascii="Rubik-Regular" w:eastAsia="Times New Roman" w:hAnsi="Rubik-Regular" w:cs="Times New Roman"/>
          <w:color w:val="000000"/>
          <w:sz w:val="21"/>
          <w:szCs w:val="21"/>
          <w:lang w:eastAsia="ru-RU"/>
        </w:rPr>
        <w:t>медико-социальной</w:t>
      </w:r>
      <w:proofErr w:type="gramEnd"/>
      <w:r w:rsidRPr="00737157">
        <w:rPr>
          <w:rFonts w:ascii="Rubik-Regular" w:eastAsia="Times New Roman" w:hAnsi="Rubik-Regular" w:cs="Times New Roman"/>
          <w:color w:val="000000"/>
          <w:sz w:val="21"/>
          <w:szCs w:val="21"/>
          <w:lang w:eastAsia="ru-RU"/>
        </w:rPr>
        <w:t xml:space="preserve"> экспертизы.</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Регистрация лиц для участия по их желанию в итоговом сочинении проводится в местах, определяемых регионом.</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Регистрация лиц </w:t>
      </w:r>
      <w:proofErr w:type="gramStart"/>
      <w:r w:rsidRPr="00737157">
        <w:rPr>
          <w:rFonts w:ascii="Rubik-Regular" w:eastAsia="Times New Roman" w:hAnsi="Rubik-Regular" w:cs="Times New Roman"/>
          <w:color w:val="000000"/>
          <w:sz w:val="21"/>
          <w:szCs w:val="21"/>
          <w:lang w:eastAsia="ru-RU"/>
        </w:rPr>
        <w:t>со справкой об обучении для участия по их желанию в итоговом сочинении</w:t>
      </w:r>
      <w:proofErr w:type="gramEnd"/>
      <w:r w:rsidRPr="00737157">
        <w:rPr>
          <w:rFonts w:ascii="Rubik-Regular" w:eastAsia="Times New Roman" w:hAnsi="Rubik-Regular" w:cs="Times New Roman"/>
          <w:color w:val="000000"/>
          <w:sz w:val="21"/>
          <w:szCs w:val="21"/>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737157">
        <w:rPr>
          <w:rFonts w:ascii="Rubik-Regular" w:eastAsia="Times New Roman" w:hAnsi="Rubik-Regular" w:cs="Times New Roman"/>
          <w:color w:val="000000"/>
          <w:sz w:val="21"/>
          <w:szCs w:val="21"/>
          <w:lang w:eastAsia="ru-RU"/>
        </w:rPr>
        <w:t>обучении по образцу</w:t>
      </w:r>
      <w:proofErr w:type="gramEnd"/>
      <w:r w:rsidRPr="00737157">
        <w:rPr>
          <w:rFonts w:ascii="Rubik-Regular" w:eastAsia="Times New Roman" w:hAnsi="Rubik-Regular" w:cs="Times New Roman"/>
          <w:color w:val="000000"/>
          <w:sz w:val="21"/>
          <w:szCs w:val="21"/>
          <w:lang w:eastAsia="ru-RU"/>
        </w:rPr>
        <w:t>, самостоятельно устанавливаемому организацией, осуществляющей образовательную деятельность.</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 xml:space="preserve">Лица, участвующие в сочинении по желанию, самостоятельно выбирают срок участия в итоговом сочинении из числа </w:t>
      </w:r>
      <w:proofErr w:type="gramStart"/>
      <w:r w:rsidRPr="00737157">
        <w:rPr>
          <w:rFonts w:ascii="Rubik-Regular" w:eastAsia="Times New Roman" w:hAnsi="Rubik-Regular" w:cs="Times New Roman"/>
          <w:color w:val="000000"/>
          <w:sz w:val="21"/>
          <w:szCs w:val="21"/>
          <w:lang w:eastAsia="ru-RU"/>
        </w:rPr>
        <w:t>установленных</w:t>
      </w:r>
      <w:proofErr w:type="gramEnd"/>
      <w:r w:rsidRPr="00737157">
        <w:rPr>
          <w:rFonts w:ascii="Rubik-Regular" w:eastAsia="Times New Roman" w:hAnsi="Rubik-Regular" w:cs="Times New Roman"/>
          <w:color w:val="000000"/>
          <w:sz w:val="21"/>
          <w:szCs w:val="21"/>
          <w:lang w:eastAsia="ru-RU"/>
        </w:rPr>
        <w:t xml:space="preserve"> расписанием проведения итогового сочинения (изложения). </w:t>
      </w:r>
      <w:r w:rsidRPr="00737157">
        <w:rPr>
          <w:rFonts w:ascii="Rubik-Regular" w:eastAsia="Times New Roman" w:hAnsi="Rubik-Regular" w:cs="Times New Roman"/>
          <w:color w:val="000000"/>
          <w:sz w:val="21"/>
          <w:szCs w:val="21"/>
          <w:lang w:eastAsia="ru-RU"/>
        </w:rPr>
        <w:lastRenderedPageBreak/>
        <w:t>Выбранную дату участия в итоговом сочинении такие лица указывают в заявлении.</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СРОКИ И ПРОДОЛЖИТЕЛЬНОСТЬ НАПИСАНИЯ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вторая среда апреля.</w:t>
      </w:r>
      <w:proofErr w:type="gramEnd"/>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Продолжительность выполнения итогового сочинения (изложения) составляет 3 часа 55 минут (235 минут).</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ПРОВЕДЕНИЕ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Итоговое сочинение (изложение) начинается в 10.00 по местному времени.</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ОЗНАКОМЛЕНИЕ С РЕЗУЛЬТАТАМИ ИТОГОВОГО СОЧИНЕНИЯ (ИЗЛОЖЕНИЯ) И СРОК ДЕЙСТВИЯ ИТОГОВОГО СОЧИНЕНИЯ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w:t>
      </w:r>
      <w:r w:rsidRPr="00737157">
        <w:rPr>
          <w:rFonts w:ascii="Rubik-Regular" w:eastAsia="Times New Roman" w:hAnsi="Rubik-Regular" w:cs="Times New Roman"/>
          <w:color w:val="000000"/>
          <w:sz w:val="21"/>
          <w:szCs w:val="21"/>
          <w:lang w:eastAsia="ru-RU"/>
        </w:rPr>
        <w:lastRenderedPageBreak/>
        <w:t>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Итоговое сочинение (изложение) как допуск к ГИА – бессрочно.</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 xml:space="preserve">Итоговое сочинение в случае представления его при приеме на </w:t>
      </w:r>
      <w:proofErr w:type="gramStart"/>
      <w:r w:rsidRPr="00737157">
        <w:rPr>
          <w:rFonts w:ascii="Rubik-Regular" w:eastAsia="Times New Roman" w:hAnsi="Rubik-Regular" w:cs="Times New Roman"/>
          <w:color w:val="000000"/>
          <w:sz w:val="21"/>
          <w:szCs w:val="21"/>
          <w:lang w:eastAsia="ru-RU"/>
        </w:rPr>
        <w:t>обучение по программам</w:t>
      </w:r>
      <w:proofErr w:type="gramEnd"/>
      <w:r w:rsidRPr="00737157">
        <w:rPr>
          <w:rFonts w:ascii="Rubik-Regular" w:eastAsia="Times New Roman" w:hAnsi="Rubik-Regular" w:cs="Times New Roman"/>
          <w:color w:val="000000"/>
          <w:sz w:val="21"/>
          <w:szCs w:val="21"/>
          <w:lang w:eastAsia="ru-RU"/>
        </w:rPr>
        <w:t xml:space="preserve">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и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ПОРЯДОК ПРОВЕРКИ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737157">
        <w:rPr>
          <w:rFonts w:ascii="Rubik-Regular" w:eastAsia="Times New Roman" w:hAnsi="Rubik-Regular" w:cs="Times New Roman"/>
          <w:color w:val="000000"/>
          <w:sz w:val="21"/>
          <w:szCs w:val="21"/>
          <w:lang w:eastAsia="ru-RU"/>
        </w:rPr>
        <w:t>Рособрнадзором</w:t>
      </w:r>
      <w:proofErr w:type="spellEnd"/>
      <w:r w:rsidRPr="00737157">
        <w:rPr>
          <w:rFonts w:ascii="Rubik-Regular" w:eastAsia="Times New Roman" w:hAnsi="Rubik-Regular" w:cs="Times New Roman"/>
          <w:color w:val="000000"/>
          <w:sz w:val="21"/>
          <w:szCs w:val="21"/>
          <w:lang w:eastAsia="ru-RU"/>
        </w:rPr>
        <w:t>.</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К проверке по критериям оценивания допускаются итоговые сочинения (изложения), соответствующие установленным ниже требованиям.</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ТРЕБОВАНИЯ К СОЧИНЕНИЮ:</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ТРЕБОВАНИЕ № 1. «ОБЪЕМ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Рекомендуемое количество слов – от 350.</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ТРЕБОВАНИЕ № 2. «САМОСТОЯТЕЛЬНОСТЬ НАПИСАНИЯ ИТОГОВОГО СОЧИНЕНИЯ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lastRenderedPageBreak/>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ТРЕБОВАНИЯ К ИЗЛОЖЕНИЮ:</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ТРЕБОВАНИЕ № 1. «ОБЪЕМ ИТОГОВОГО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Рекомендуемое количество слов – 250-300.</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ТРЕБОВАНИЕ № 2. «САМОСТОЯТЕЛЬНОСТЬ НАПИСАНИЯ ИТОГОВОГО ИЗЛОЖЕНИЯ»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Итоговое сочинение (изложение), соответствующее установленным требованиям, оценивается по критериям.</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9558" w:type="dxa"/>
        <w:shd w:val="clear" w:color="auto" w:fill="FFFFFF"/>
        <w:tblCellMar>
          <w:left w:w="0" w:type="dxa"/>
          <w:right w:w="0" w:type="dxa"/>
        </w:tblCellMar>
        <w:tblLook w:val="04A0" w:firstRow="1" w:lastRow="0" w:firstColumn="1" w:lastColumn="0" w:noHBand="0" w:noVBand="1"/>
      </w:tblPr>
      <w:tblGrid>
        <w:gridCol w:w="4947"/>
        <w:gridCol w:w="4611"/>
      </w:tblGrid>
      <w:tr w:rsidR="00737157" w:rsidRPr="00737157" w:rsidTr="00737157">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Bold" w:eastAsia="Times New Roman" w:hAnsi="Rubik-Bold" w:cs="Times New Roman"/>
                <w:b/>
                <w:bCs/>
                <w:color w:val="000000"/>
                <w:sz w:val="21"/>
                <w:szCs w:val="21"/>
                <w:lang w:eastAsia="ru-RU"/>
              </w:rPr>
              <w:t>Сочинение</w:t>
            </w:r>
          </w:p>
        </w:tc>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Bold" w:eastAsia="Times New Roman" w:hAnsi="Rubik-Bold" w:cs="Times New Roman"/>
                <w:b/>
                <w:bCs/>
                <w:color w:val="000000"/>
                <w:sz w:val="21"/>
                <w:szCs w:val="21"/>
                <w:lang w:eastAsia="ru-RU"/>
              </w:rPr>
              <w:t>Изложение</w:t>
            </w:r>
          </w:p>
        </w:tc>
      </w:tr>
      <w:tr w:rsidR="00737157" w:rsidRPr="00737157" w:rsidTr="00737157">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1. Соответствие теме</w:t>
            </w:r>
          </w:p>
        </w:tc>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1. Содержание изложения</w:t>
            </w:r>
          </w:p>
        </w:tc>
      </w:tr>
      <w:tr w:rsidR="00737157" w:rsidRPr="00737157" w:rsidTr="00737157">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2. Аргументация. Привлечение литературного материала</w:t>
            </w:r>
          </w:p>
        </w:tc>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2. Логичность изложения</w:t>
            </w:r>
          </w:p>
        </w:tc>
      </w:tr>
      <w:tr w:rsidR="00737157" w:rsidRPr="00737157" w:rsidTr="00737157">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lastRenderedPageBreak/>
              <w:t>3. Композиция и логика рассуждения</w:t>
            </w:r>
          </w:p>
        </w:tc>
        <w:tc>
          <w:tcPr>
            <w:tcW w:w="0" w:type="auto"/>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3. Использование элементов стиля исходного текста</w:t>
            </w:r>
          </w:p>
        </w:tc>
      </w:tr>
      <w:tr w:rsidR="00737157" w:rsidRPr="00737157" w:rsidTr="00737157">
        <w:tc>
          <w:tcPr>
            <w:tcW w:w="0" w:type="auto"/>
            <w:gridSpan w:val="2"/>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4. Качество письменной речи</w:t>
            </w:r>
          </w:p>
        </w:tc>
      </w:tr>
      <w:tr w:rsidR="00737157" w:rsidRPr="00737157" w:rsidTr="00737157">
        <w:tc>
          <w:tcPr>
            <w:tcW w:w="0" w:type="auto"/>
            <w:gridSpan w:val="2"/>
            <w:tcBorders>
              <w:top w:val="single" w:sz="6" w:space="0" w:color="D5DAE0"/>
              <w:left w:val="single" w:sz="6" w:space="0" w:color="D5DAE0"/>
              <w:bottom w:val="single" w:sz="6" w:space="0" w:color="D5DAE0"/>
              <w:right w:val="single" w:sz="6" w:space="0" w:color="D5DAE0"/>
            </w:tcBorders>
            <w:shd w:val="clear" w:color="auto" w:fill="F7F7F5"/>
            <w:tcMar>
              <w:top w:w="255" w:type="dxa"/>
              <w:left w:w="300" w:type="dxa"/>
              <w:bottom w:w="255" w:type="dxa"/>
              <w:right w:w="300" w:type="dxa"/>
            </w:tcMar>
            <w:hideMark/>
          </w:tcPr>
          <w:p w:rsidR="00737157" w:rsidRPr="00737157" w:rsidRDefault="00737157" w:rsidP="00737157">
            <w:pPr>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5. Грамотность</w:t>
            </w:r>
          </w:p>
        </w:tc>
      </w:tr>
    </w:tbl>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737157">
        <w:rPr>
          <w:rFonts w:ascii="Rubik-Regular" w:eastAsia="Times New Roman" w:hAnsi="Rubik-Regular" w:cs="Times New Roman"/>
          <w:color w:val="000000"/>
          <w:sz w:val="21"/>
          <w:szCs w:val="21"/>
          <w:lang w:eastAsia="ru-RU"/>
        </w:rPr>
        <w:t>ПРЕДОСТАВЛЕНИЕ ИТОГОВОГО СОЧИНЕНИЯ В ВУЗЫ В КАЧЕСТВЕ ИНДИВИДУАЛЬНОГО ДОСТИЖЕНИЯ</w:t>
      </w:r>
    </w:p>
    <w:p w:rsidR="00737157"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926CA2" w:rsidRPr="00737157" w:rsidRDefault="00737157" w:rsidP="00737157">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737157">
        <w:rPr>
          <w:rFonts w:ascii="Rubik-Regular" w:eastAsia="Times New Roman" w:hAnsi="Rubik-Regular" w:cs="Times New Roman"/>
          <w:color w:val="000000"/>
          <w:sz w:val="21"/>
          <w:szCs w:val="21"/>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xml:space="preserve">, программам магистратуры, утвержденного приказом </w:t>
      </w:r>
      <w:proofErr w:type="spellStart"/>
      <w:r w:rsidRPr="00737157">
        <w:rPr>
          <w:rFonts w:ascii="Rubik-Regular" w:eastAsia="Times New Roman" w:hAnsi="Rubik-Regular" w:cs="Times New Roman"/>
          <w:color w:val="000000"/>
          <w:sz w:val="21"/>
          <w:szCs w:val="21"/>
          <w:lang w:eastAsia="ru-RU"/>
        </w:rPr>
        <w:t>Минобрнауки</w:t>
      </w:r>
      <w:proofErr w:type="spellEnd"/>
      <w:r w:rsidRPr="00737157">
        <w:rPr>
          <w:rFonts w:ascii="Rubik-Regular" w:eastAsia="Times New Roman" w:hAnsi="Rubik-Regular" w:cs="Times New Roman"/>
          <w:color w:val="000000"/>
          <w:sz w:val="21"/>
          <w:szCs w:val="21"/>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737157">
        <w:rPr>
          <w:rFonts w:ascii="Rubik-Regular" w:eastAsia="Times New Roman" w:hAnsi="Rubik-Regular" w:cs="Times New Roman"/>
          <w:color w:val="000000"/>
          <w:sz w:val="21"/>
          <w:szCs w:val="21"/>
          <w:lang w:eastAsia="ru-RU"/>
        </w:rPr>
        <w:t xml:space="preserve"> проверки итогового сочинения, являющегося условием допуска к ГИА.</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 xml:space="preserve">При приеме на обучение по программам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xml:space="preserve"> </w:t>
      </w:r>
      <w:proofErr w:type="gramStart"/>
      <w:r w:rsidRPr="00737157">
        <w:rPr>
          <w:rFonts w:ascii="Rubik-Regular" w:eastAsia="Times New Roman" w:hAnsi="Rubik-Regular" w:cs="Times New Roman"/>
          <w:color w:val="000000"/>
          <w:sz w:val="21"/>
          <w:szCs w:val="21"/>
          <w:lang w:eastAsia="ru-RU"/>
        </w:rPr>
        <w:t>поступающему</w:t>
      </w:r>
      <w:proofErr w:type="gramEnd"/>
      <w:r w:rsidRPr="00737157">
        <w:rPr>
          <w:rFonts w:ascii="Rubik-Regular" w:eastAsia="Times New Roman" w:hAnsi="Rubik-Regular" w:cs="Times New Roman"/>
          <w:color w:val="000000"/>
          <w:sz w:val="21"/>
          <w:szCs w:val="21"/>
          <w:lang w:eastAsia="ru-RU"/>
        </w:rPr>
        <w:t xml:space="preserve"> может быть начислено за индивидуальные достижения не более 10 баллов суммарно.</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 xml:space="preserve">Перечень индивидуальных достижений, учитываемых при приеме на </w:t>
      </w:r>
      <w:proofErr w:type="gramStart"/>
      <w:r w:rsidRPr="00737157">
        <w:rPr>
          <w:rFonts w:ascii="Rubik-Regular" w:eastAsia="Times New Roman" w:hAnsi="Rubik-Regular" w:cs="Times New Roman"/>
          <w:color w:val="000000"/>
          <w:sz w:val="21"/>
          <w:szCs w:val="21"/>
          <w:lang w:eastAsia="ru-RU"/>
        </w:rPr>
        <w:t>обучение по программам</w:t>
      </w:r>
      <w:proofErr w:type="gramEnd"/>
      <w:r w:rsidRPr="00737157">
        <w:rPr>
          <w:rFonts w:ascii="Rubik-Regular" w:eastAsia="Times New Roman" w:hAnsi="Rubik-Regular" w:cs="Times New Roman"/>
          <w:color w:val="000000"/>
          <w:sz w:val="21"/>
          <w:szCs w:val="21"/>
          <w:lang w:eastAsia="ru-RU"/>
        </w:rPr>
        <w:t xml:space="preserve"> </w:t>
      </w:r>
      <w:proofErr w:type="spellStart"/>
      <w:r w:rsidRPr="00737157">
        <w:rPr>
          <w:rFonts w:ascii="Rubik-Regular" w:eastAsia="Times New Roman" w:hAnsi="Rubik-Regular" w:cs="Times New Roman"/>
          <w:color w:val="000000"/>
          <w:sz w:val="21"/>
          <w:szCs w:val="21"/>
          <w:lang w:eastAsia="ru-RU"/>
        </w:rPr>
        <w:t>бакалавриата</w:t>
      </w:r>
      <w:proofErr w:type="spellEnd"/>
      <w:r w:rsidRPr="00737157">
        <w:rPr>
          <w:rFonts w:ascii="Rubik-Regular" w:eastAsia="Times New Roman" w:hAnsi="Rubik-Regular" w:cs="Times New Roman"/>
          <w:color w:val="000000"/>
          <w:sz w:val="21"/>
          <w:szCs w:val="21"/>
          <w:lang w:eastAsia="ru-RU"/>
        </w:rPr>
        <w:t xml:space="preserve">, программам </w:t>
      </w:r>
      <w:proofErr w:type="spellStart"/>
      <w:r w:rsidRPr="00737157">
        <w:rPr>
          <w:rFonts w:ascii="Rubik-Regular" w:eastAsia="Times New Roman" w:hAnsi="Rubik-Regular" w:cs="Times New Roman"/>
          <w:color w:val="000000"/>
          <w:sz w:val="21"/>
          <w:szCs w:val="21"/>
          <w:lang w:eastAsia="ru-RU"/>
        </w:rPr>
        <w:t>специалитета</w:t>
      </w:r>
      <w:proofErr w:type="spellEnd"/>
      <w:r w:rsidRPr="00737157">
        <w:rPr>
          <w:rFonts w:ascii="Rubik-Regular" w:eastAsia="Times New Roman" w:hAnsi="Rubik-Regular" w:cs="Times New Roman"/>
          <w:color w:val="000000"/>
          <w:sz w:val="21"/>
          <w:szCs w:val="21"/>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r w:rsidRPr="00737157">
        <w:rPr>
          <w:rFonts w:ascii="Rubik-Regular" w:eastAsia="Times New Roman" w:hAnsi="Rubik-Regular" w:cs="Times New Roman"/>
          <w:color w:val="000000"/>
          <w:sz w:val="21"/>
          <w:szCs w:val="21"/>
          <w:lang w:eastAsia="ru-RU"/>
        </w:rPr>
        <w:br/>
      </w:r>
      <w:r w:rsidRPr="00737157">
        <w:rPr>
          <w:rFonts w:ascii="Rubik-Regular" w:eastAsia="Times New Roman" w:hAnsi="Rubik-Regular" w:cs="Times New Roman"/>
          <w:color w:val="000000"/>
          <w:sz w:val="21"/>
          <w:szCs w:val="21"/>
          <w:lang w:eastAsia="ru-RU"/>
        </w:rPr>
        <w:b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bookmarkStart w:id="0" w:name="_GoBack"/>
      <w:bookmarkEnd w:id="0"/>
    </w:p>
    <w:sectPr w:rsidR="00926CA2" w:rsidRPr="00737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ubik-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ubik-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81"/>
    <w:rsid w:val="00737157"/>
    <w:rsid w:val="00926CA2"/>
    <w:rsid w:val="009E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tov-gorod.ru/upload/medialibrary/9b0/84iky7vk8ceslbcoqxkqbs9scaow3twn/%D0%9F%D1%80%D0%B8%D0%BA%D0%B0%D0%B7_1014%20%D0%BE%D1%82%2020.10.2023%20%D0%BE%D0%B1%20%D0%BE%D1%80%D0%B3%D0%B0%D0%BD%D0%B8%D0%B7%D0%B0%D1%86%D0%B8%D0%B8%20%D0%B8%20%D0%BF%D1%80%D0%BE%D0%B2%D0%B5%D0%B4%D0%B5%D0%BD%D0%B8%D0%B8%20%D0%98%D0%A1%2006.12.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stov-gorod.ru/upload/medialibrary/500/yfztah3xx2xkma8gudlf2c2r8f5an0ih/%D0%9E%20%D0%B2%D0%BD%D0%B5%D1%81%D0%B5%D0%BD%D0%B8%D0%B8%20%D0%B8%D0%B7%D0%BC%D0%B5%D0%BD%D0%B5%D0%BD%D0%B8%D0%B9%20%D0%B2%20%D0%BF%D1%80%D0%B8%D0%BA%D0%B0%D0%B7%20%D0%BE%D1%82%2029.08.2023%20%E2%84%96%20814.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tov-gorod.ru/upload/medialibrary/71a/hy4cq179c4l7jkxinv4y43b9az52lcr6/%D0%9E%D0%B1%20%D1%83%D1%82%D0%B2%D0%B5%D1%80%D0%B6%D0%B4%D0%B5%D0%BD%D0%B8%D0%B8%20%D0%BF%D0%BE%D1%80%D1%8F%D0%B4%D0%BA%D0%B0%20%D0%BF%D1%80%D0%BE%D0%B2%D0%B5%D0%B4%D0%B5%D0%BD%D0%B8%D1%8F%20%D0%B8%20%D0%BF%D1%80%D0%BE%D0%B2%D0%B5%D1%80%D0%BA%D0%B8%20%D0%98%D0%A1.docx" TargetMode="External"/><Relationship Id="rId11" Type="http://schemas.openxmlformats.org/officeDocument/2006/relationships/hyperlink" Target="http://rostov-gorod.ru/upload/medialibrary/5fe/iojhvjjk30k321y2oh06z5ag9lal01ou/%D0%9F%D1%80%D0%B0%D0%B2%D0%B8%D0%BB%D0%B0%20%D0%B7%D0%B0%D0%BF%D0%BE%D0%BB%D0%BD%D0%B5%D0%BD%D0%B8%D1%8F%20%D0%B1%D0%BB%D0%B0%D0%BD%D0%BA%D0%BE%D0%B2%20%D0%98%D0%A1.pdf" TargetMode="External"/><Relationship Id="rId5" Type="http://schemas.openxmlformats.org/officeDocument/2006/relationships/hyperlink" Target="https://fipi.ru/itogovoe-sochinenie" TargetMode="External"/><Relationship Id="rId10" Type="http://schemas.openxmlformats.org/officeDocument/2006/relationships/hyperlink" Target="http://rostov-gorod.ru/upload/medialibrary/5ee/pu3fvjfembhx0rmo0hk814zq33898w3j/%D0%9C%D0%B5%D1%82%D0%BE%D0%B4%D1%80%D0%B5%D0%BA%D0%BE%D0%BC%D0%B5%D0%BD%D0%B4%D0%B0%D1%86%D0%B8%D0%B8%20%D0%BF%D0%BE%20%D0%BE%D1%80%D0%B3%D0%B0%D0%BD%D0%B8%D0%B7%D0%B0%D1%86%D0%B8%D0%B8%20%D0%B8%20%D0%BF%D1%80%D0%BE%D0%B2%D0%B5%D0%B4%D0%B5%D0%BD%D0%B8%D1%8E%20%D0%98%D0%A1.pdf" TargetMode="External"/><Relationship Id="rId4" Type="http://schemas.openxmlformats.org/officeDocument/2006/relationships/webSettings" Target="webSettings.xml"/><Relationship Id="rId9" Type="http://schemas.openxmlformats.org/officeDocument/2006/relationships/hyperlink" Target="http://rostov-gorod.ru/upload/medialibrary/5ee/pu3fvjfembhx0rmo0hk814zq33898w3j/%D0%9C%D0%B5%D1%82%D0%BE%D0%B4%D1%80%D0%B5%D0%BA%D0%BE%D0%BC%D0%B5%D0%BD%D0%B4%D0%B0%D1%86%D0%B8%D0%B8%20%D0%BF%D0%BE%20%D0%BE%D1%80%D0%B3%D0%B0%D0%BD%D0%B8%D0%B7%D0%B0%D1%86%D0%B8%D0%B8%20%D0%B8%20%D0%BF%D1%80%D0%BE%D0%B2%D0%B5%D0%B4%D0%B5%D0%BD%D0%B8%D1%8E%20%D0%98%D0%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2792</Words>
  <Characters>15916</Characters>
  <Application>Microsoft Office Word</Application>
  <DocSecurity>0</DocSecurity>
  <Lines>132</Lines>
  <Paragraphs>37</Paragraphs>
  <ScaleCrop>false</ScaleCrop>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2023-11-17T10:14:00Z</dcterms:created>
  <dcterms:modified xsi:type="dcterms:W3CDTF">2023-11-17T10:15:00Z</dcterms:modified>
</cp:coreProperties>
</file>